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30" w:rsidRDefault="005A5930" w:rsidP="005A5930">
      <w:pPr>
        <w:pStyle w:val="Titolo1"/>
        <w:spacing w:before="0" w:beforeAutospacing="0" w:after="277" w:afterAutospacing="0"/>
        <w:jc w:val="both"/>
        <w:textAlignment w:val="baseline"/>
        <w:rPr>
          <w:rFonts w:ascii="Roboto" w:hAnsi="Roboto"/>
          <w:color w:val="142737"/>
          <w:spacing w:val="10"/>
          <w:sz w:val="49"/>
          <w:szCs w:val="49"/>
        </w:rPr>
      </w:pPr>
    </w:p>
    <w:p w:rsidR="005A5930" w:rsidRDefault="005A5930" w:rsidP="005A5930">
      <w:pPr>
        <w:pStyle w:val="Titolo1"/>
        <w:spacing w:before="0" w:beforeAutospacing="0" w:after="277" w:afterAutospacing="0"/>
        <w:jc w:val="both"/>
        <w:textAlignment w:val="baseline"/>
        <w:rPr>
          <w:rFonts w:ascii="Roboto" w:hAnsi="Roboto"/>
          <w:color w:val="142737"/>
          <w:spacing w:val="10"/>
          <w:sz w:val="49"/>
          <w:szCs w:val="49"/>
        </w:rPr>
      </w:pPr>
      <w:r>
        <w:rPr>
          <w:rFonts w:ascii="Roboto" w:hAnsi="Roboto"/>
          <w:color w:val="142737"/>
          <w:spacing w:val="10"/>
          <w:sz w:val="49"/>
          <w:szCs w:val="49"/>
        </w:rPr>
        <w:t>Sostegno alla famiglia</w:t>
      </w:r>
    </w:p>
    <w:p w:rsidR="005A5930" w:rsidRDefault="005A5930" w:rsidP="005A5930">
      <w:pPr>
        <w:pStyle w:val="NormaleWeb"/>
        <w:spacing w:before="0" w:beforeAutospacing="0" w:after="138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In Italia, l’assistenza sociale relativa alla famiglia, è realizzata attraverso un complesso di interventi nazionali, regionali e comunali, che rivestono le forme della prestazione economica e/o del servizio alla persona.</w:t>
      </w:r>
    </w:p>
    <w:p w:rsidR="005A5930" w:rsidRDefault="005A5930" w:rsidP="005A5930">
      <w:pPr>
        <w:pStyle w:val="NormaleWeb"/>
        <w:spacing w:before="0" w:beforeAutospacing="0" w:after="138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La normativa sull’assistenza stabilisce che i livelli essenziali delle prestazioni sociali (LEP) corrispondono all’insieme degli interventi garantiti, sotto forma di beni o servizi, secondo le caratteristiche fissate dalla pianificazione nazionale, regionale e zonale, e attuati nei limiti delle risorse del Fondo nazionale per le politiche sociali.</w:t>
      </w:r>
    </w:p>
    <w:p w:rsidR="005A5930" w:rsidRDefault="005A5930" w:rsidP="005A5930">
      <w:pPr>
        <w:pStyle w:val="NormaleWeb"/>
        <w:spacing w:before="0" w:beforeAutospacing="0" w:after="0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 xml:space="preserve">Nel Fondo nazionale per le politiche sociali (FNPS), istituito dalla legge 449/1997 (legge finanziaria per il 1998), sono contenute le risorse che lo Stato stanzia annualmente con la legge di bilancio per la promozione e il raggiungimento degli obiettivi di politica sociale indicati dalla legge quadro 328/2000. Le risorse del FNPS, ripartite annualmente, d’intesa con la Conferenza </w:t>
      </w:r>
      <w:proofErr w:type="spellStart"/>
      <w:r>
        <w:rPr>
          <w:rFonts w:ascii="Poppins" w:hAnsi="Poppins"/>
          <w:color w:val="4D4D4D"/>
          <w:spacing w:val="7"/>
          <w:sz w:val="22"/>
          <w:szCs w:val="22"/>
        </w:rPr>
        <w:t>Stato-regioni</w:t>
      </w:r>
      <w:proofErr w:type="spellEnd"/>
      <w:r>
        <w:rPr>
          <w:rFonts w:ascii="Poppins" w:hAnsi="Poppins"/>
          <w:color w:val="4D4D4D"/>
          <w:spacing w:val="7"/>
          <w:sz w:val="22"/>
          <w:szCs w:val="22"/>
        </w:rPr>
        <w:t>, fra regioni, province autonome, comuni e Ministero del lavoro e delle politiche sociali, sono assegnate con decreto interministeriale.</w:t>
      </w:r>
    </w:p>
    <w:p w:rsidR="005A5930" w:rsidRDefault="005A5930" w:rsidP="005A5930">
      <w:pPr>
        <w:pStyle w:val="NormaleWeb"/>
        <w:spacing w:before="0" w:beforeAutospacing="0" w:after="0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</w:p>
    <w:p w:rsidR="005A5930" w:rsidRDefault="005A5930" w:rsidP="005A5930">
      <w:pPr>
        <w:pStyle w:val="NormaleWeb"/>
        <w:spacing w:before="0" w:beforeAutospacing="0" w:after="0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</w:p>
    <w:p w:rsidR="005A5930" w:rsidRDefault="005A5930" w:rsidP="005A5930">
      <w:pPr>
        <w:pStyle w:val="Titolo3"/>
        <w:spacing w:before="0" w:after="277"/>
        <w:jc w:val="both"/>
        <w:textAlignment w:val="baseline"/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</w:pPr>
      <w:r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  <w:t>Stato</w:t>
      </w:r>
    </w:p>
    <w:p w:rsidR="005A5930" w:rsidRDefault="005A5930" w:rsidP="005A5930">
      <w:pPr>
        <w:pStyle w:val="NormaleWeb"/>
        <w:spacing w:before="0" w:beforeAutospacing="0" w:after="138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Le amministrazioni centrali coinvolte nella definizione delle politiche di competenza programmano, realizzano e verificano azioni appropriate nel campo della promozione, della prevenzione e della protezione a favore dei bambini e delle famiglie che vivono in situazione di vulnerabilità.</w:t>
      </w:r>
    </w:p>
    <w:p w:rsidR="005A5930" w:rsidRDefault="005A5930" w:rsidP="005A5930">
      <w:pPr>
        <w:pStyle w:val="NormaleWeb"/>
        <w:spacing w:before="0" w:beforeAutospacing="0" w:after="138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Il patronato INPAS offre assistenza e consulenza alle pratiche per le richieste di sostegno al reddito da parte delle famiglie, quali: bonus, indennità, assegni familiari, congedi parentali erogati dall’ INPS.</w:t>
      </w:r>
    </w:p>
    <w:p w:rsidR="005A5930" w:rsidRDefault="005A5930" w:rsidP="005A5930">
      <w:pPr>
        <w:pStyle w:val="NormaleWeb"/>
        <w:spacing w:before="0" w:beforeAutospacing="0" w:after="138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Di seguito riportiamo alcune delle più importanti misure: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5" w:tooltip="Congedi per maternità e paternità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Congedi per maternità e paternità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r>
        <w:rPr>
          <w:rFonts w:ascii="Poppins" w:hAnsi="Poppins"/>
          <w:color w:val="4D4D4D"/>
          <w:spacing w:val="7"/>
        </w:rPr>
        <w:t>Congedi per adozione o affidamento;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6" w:tooltip="Assegni familiari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Assegni familiari</w:t>
        </w:r>
      </w:hyperlink>
      <w:r>
        <w:rPr>
          <w:rFonts w:ascii="Poppins" w:hAnsi="Poppins"/>
          <w:color w:val="4D4D4D"/>
          <w:spacing w:val="7"/>
        </w:rPr>
        <w:t> e </w:t>
      </w:r>
      <w:hyperlink r:id="rId7" w:tooltip="Assegno al nucleo familiare (ANF): assistenza alle pratiche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assegno al nucleo familiare (ANF)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8" w:tooltip="Assegno sociale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Assegno sociale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9" w:tooltip="Bonus asilo nido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Bonus asilo nido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r>
        <w:rPr>
          <w:rFonts w:ascii="Poppins" w:hAnsi="Poppins"/>
          <w:color w:val="4D4D4D"/>
          <w:spacing w:val="7"/>
        </w:rPr>
        <w:t>Assegno di maternità del Comune e </w:t>
      </w:r>
      <w:hyperlink r:id="rId10" w:tooltip="Assegno di maternità dello Stato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assegno di maternità dello Stato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11" w:tooltip="Indennità per congedo parentale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Indennità per congedo parentale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12" w:tooltip="Bonus Bebè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Bonus Bebè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13" w:tooltip="Premio alla nascita (bonus mamma domani)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Premio alla nascita (bonus mamma domani)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14" w:tooltip="Indennità di maternità / Paternità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Indennità di maternità / Paternità</w:t>
        </w:r>
      </w:hyperlink>
      <w:r>
        <w:rPr>
          <w:rFonts w:ascii="Poppins" w:hAnsi="Poppins"/>
          <w:color w:val="4D4D4D"/>
          <w:spacing w:val="7"/>
        </w:rPr>
        <w:t>;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hyperlink r:id="rId15" w:tooltip="Astensione anticipata per maternità :assistenza alla pratica di Patronato" w:history="1">
        <w:r>
          <w:rPr>
            <w:rStyle w:val="Collegamentoipertestuale"/>
            <w:rFonts w:ascii="Poppins" w:hAnsi="Poppins"/>
            <w:color w:val="274584"/>
            <w:spacing w:val="7"/>
            <w:bdr w:val="none" w:sz="0" w:space="0" w:color="auto" w:frame="1"/>
          </w:rPr>
          <w:t>Astensione anticipata per maternità</w:t>
        </w:r>
      </w:hyperlink>
      <w:r>
        <w:rPr>
          <w:rFonts w:ascii="Poppins" w:hAnsi="Poppins"/>
          <w:color w:val="4D4D4D"/>
          <w:spacing w:val="7"/>
        </w:rPr>
        <w:t>.</w:t>
      </w:r>
    </w:p>
    <w:p w:rsidR="005A5930" w:rsidRDefault="005A5930" w:rsidP="005A59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</w:p>
    <w:p w:rsidR="005A5930" w:rsidRDefault="005A5930" w:rsidP="005A5930">
      <w:pPr>
        <w:pStyle w:val="Titolo3"/>
        <w:spacing w:before="0" w:after="277"/>
        <w:jc w:val="both"/>
        <w:textAlignment w:val="baseline"/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</w:pPr>
      <w:r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  <w:t>Regioni e Province Autonome</w:t>
      </w:r>
    </w:p>
    <w:p w:rsidR="005A5930" w:rsidRDefault="005A5930" w:rsidP="005A5930">
      <w:pPr>
        <w:pStyle w:val="NormaleWeb"/>
        <w:spacing w:before="0" w:beforeAutospacing="0" w:after="0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Non esiste un quadro di riferimento unitario, quindi l’organizzazione e l’erogazione delle risorse regionali e provinciali è demandata ai relativi enti. Per prendere visione delle misure a sostegno della famiglia è possibile visitare i siti web delle singole istituzioni.</w:t>
      </w:r>
    </w:p>
    <w:p w:rsidR="005A5930" w:rsidRDefault="005A5930" w:rsidP="005A5930">
      <w:pPr>
        <w:pStyle w:val="NormaleWeb"/>
        <w:spacing w:before="0" w:beforeAutospacing="0" w:after="0" w:afterAutospacing="0"/>
        <w:jc w:val="both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</w:p>
    <w:p w:rsidR="005A5930" w:rsidRDefault="005A5930" w:rsidP="005A5930">
      <w:pPr>
        <w:pStyle w:val="Titolo3"/>
        <w:spacing w:before="0" w:after="277"/>
        <w:jc w:val="both"/>
        <w:textAlignment w:val="baseline"/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</w:pPr>
      <w:r>
        <w:rPr>
          <w:rFonts w:ascii="Raleway" w:hAnsi="Raleway"/>
          <w:b w:val="0"/>
          <w:bCs w:val="0"/>
          <w:color w:val="1E73BE"/>
          <w:spacing w:val="10"/>
          <w:sz w:val="42"/>
          <w:szCs w:val="42"/>
        </w:rPr>
        <w:lastRenderedPageBreak/>
        <w:t>Comuni</w:t>
      </w:r>
    </w:p>
    <w:p w:rsidR="005A5930" w:rsidRDefault="005A5930" w:rsidP="005A5930">
      <w:pPr>
        <w:pStyle w:val="NormaleWeb"/>
        <w:spacing w:before="0" w:beforeAutospacing="0" w:after="0" w:afterAutospacing="0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L’organizzazione dei servizi sociali per la protezione e cura dei bambini è uno dei compiti fondamentali del Comune.</w:t>
      </w:r>
      <w:r>
        <w:rPr>
          <w:rFonts w:ascii="Poppins" w:hAnsi="Poppins"/>
          <w:color w:val="4D4D4D"/>
          <w:spacing w:val="7"/>
          <w:sz w:val="22"/>
          <w:szCs w:val="22"/>
        </w:rPr>
        <w:br/>
        <w:t xml:space="preserve">Il Comune pianifica l’organizzazione del servizio sociale rispetto alle esigenze del territorio e secondo le modalità individuate dalla normativa regionale, che può prevedere differenti forme di gestione associata per ambiti </w:t>
      </w:r>
      <w:proofErr w:type="spellStart"/>
      <w:r>
        <w:rPr>
          <w:rFonts w:ascii="Poppins" w:hAnsi="Poppins"/>
          <w:color w:val="4D4D4D"/>
          <w:spacing w:val="7"/>
          <w:sz w:val="22"/>
          <w:szCs w:val="22"/>
        </w:rPr>
        <w:t>sovracomunali</w:t>
      </w:r>
      <w:proofErr w:type="spellEnd"/>
      <w:r>
        <w:rPr>
          <w:rFonts w:ascii="Poppins" w:hAnsi="Poppins"/>
          <w:color w:val="4D4D4D"/>
          <w:spacing w:val="7"/>
          <w:sz w:val="22"/>
          <w:szCs w:val="22"/>
        </w:rPr>
        <w:t xml:space="preserve"> o di gestione delegata. In ogni caso, il servizio sociale locale è responsabile del Progetto Quadro a favore dei bambini e delle famiglie in difficoltà, coinvolgendo tutti gli enti titolari delle rispettive competenze, in base a quanto disposto dalla legislazione vigente nonché dell’attivazione di ogni dispositivo di sostegno sociale, compreso quello economico, educativo, psicologico di cui il bambino e la famiglia abbiano bisogno, in base a quanto disposto dalla legislazione vigente.</w:t>
      </w:r>
    </w:p>
    <w:p w:rsidR="005A5930" w:rsidRDefault="005A5930" w:rsidP="005A5930">
      <w:pPr>
        <w:pStyle w:val="NormaleWeb"/>
        <w:spacing w:before="0" w:beforeAutospacing="0" w:after="0" w:afterAutospacing="0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</w:p>
    <w:p w:rsidR="005A5930" w:rsidRDefault="005A5930" w:rsidP="005A5930">
      <w:pPr>
        <w:pStyle w:val="NormaleWeb"/>
        <w:spacing w:before="0" w:beforeAutospacing="0" w:after="0" w:afterAutospacing="0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</w:p>
    <w:p w:rsidR="005A5930" w:rsidRDefault="005A5930" w:rsidP="005A5930">
      <w:pPr>
        <w:pStyle w:val="Titolo2"/>
        <w:spacing w:before="0" w:after="277"/>
        <w:jc w:val="both"/>
        <w:textAlignment w:val="baseline"/>
        <w:rPr>
          <w:rFonts w:ascii="Roboto" w:hAnsi="Roboto"/>
          <w:color w:val="142737"/>
          <w:spacing w:val="10"/>
          <w:sz w:val="42"/>
          <w:szCs w:val="42"/>
        </w:rPr>
      </w:pPr>
      <w:r>
        <w:rPr>
          <w:rFonts w:ascii="Roboto" w:hAnsi="Roboto"/>
          <w:color w:val="142737"/>
          <w:spacing w:val="10"/>
          <w:sz w:val="42"/>
          <w:szCs w:val="42"/>
        </w:rPr>
        <w:t>Contesto e motivazioni del sostegno alle famiglie</w:t>
      </w:r>
    </w:p>
    <w:p w:rsidR="005A5930" w:rsidRPr="005A5930" w:rsidRDefault="005A5930" w:rsidP="005A5930"/>
    <w:p w:rsidR="005A5930" w:rsidRDefault="005A5930" w:rsidP="005A5930">
      <w:pPr>
        <w:pStyle w:val="NormaleWeb"/>
        <w:spacing w:before="0" w:beforeAutospacing="0" w:after="0" w:afterAutospacing="0"/>
        <w:textAlignment w:val="baseline"/>
        <w:rPr>
          <w:rFonts w:ascii="Poppins" w:hAnsi="Poppins"/>
          <w:color w:val="4D4D4D"/>
          <w:spacing w:val="7"/>
          <w:sz w:val="22"/>
          <w:szCs w:val="22"/>
        </w:rPr>
      </w:pPr>
      <w:r>
        <w:rPr>
          <w:rFonts w:ascii="Poppins" w:hAnsi="Poppins"/>
          <w:color w:val="4D4D4D"/>
          <w:spacing w:val="7"/>
          <w:sz w:val="22"/>
          <w:szCs w:val="22"/>
        </w:rPr>
        <w:t>Accompagnare bambini e famiglie in situazione di vulnerabilità è una funzione complessa, che coinvolge differenti politiche, per esempio quelle relative alla lotta alla povertà, alla prevenzione delle violenze coniugali, al sostegno alla genitorialità, all’istruzione e all’inclusione sociale e scolastica, alla prevenzione dei comportamenti violenti/devianti ecc.</w:t>
      </w:r>
      <w:r>
        <w:rPr>
          <w:rFonts w:ascii="Poppins" w:hAnsi="Poppins"/>
          <w:color w:val="4D4D4D"/>
          <w:spacing w:val="7"/>
          <w:sz w:val="22"/>
          <w:szCs w:val="22"/>
        </w:rPr>
        <w:br/>
        <w:t>L’ intervento dei diversi soggetti impegnati nel lavoro di accompagnamento di bambini e famiglie è finalizzato:</w:t>
      </w:r>
    </w:p>
    <w:p w:rsidR="005A5930" w:rsidRDefault="005A5930" w:rsidP="005A593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r>
        <w:rPr>
          <w:rFonts w:ascii="Poppins" w:hAnsi="Poppins"/>
          <w:color w:val="4D4D4D"/>
          <w:spacing w:val="7"/>
        </w:rPr>
        <w:t>all’ equità di trattamento e pari attuazione dei diritti a bambini e famiglie che vivono in contesti territoriali diversi, pur in un quadro complessivo che valorizza le specificità regionali e la costruzione situata di risposte e approcci innovativi;</w:t>
      </w:r>
    </w:p>
    <w:p w:rsidR="005A5930" w:rsidRDefault="005A5930" w:rsidP="005A593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hAnsi="Poppins"/>
          <w:color w:val="4D4D4D"/>
          <w:spacing w:val="7"/>
        </w:rPr>
      </w:pPr>
      <w:r>
        <w:rPr>
          <w:rFonts w:ascii="Poppins" w:hAnsi="Poppins"/>
          <w:color w:val="4D4D4D"/>
          <w:spacing w:val="7"/>
        </w:rPr>
        <w:t>all’ effettiva prevenzione delle situazioni di trascuratezza e trascuratezza grave, maltrattamento e abuso, anche tramite azioni di promozione della genitorialità positiva come di azione tempestiva in caso di rilevazione di esse e quindi di protezione e tutela dei bambini.</w:t>
      </w:r>
    </w:p>
    <w:p w:rsidR="005A5930" w:rsidRDefault="005A5930" w:rsidP="005A5930"/>
    <w:p w:rsidR="005D47B0" w:rsidRDefault="005D47B0"/>
    <w:sectPr w:rsidR="005D47B0" w:rsidSect="005D4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F9F"/>
    <w:multiLevelType w:val="multilevel"/>
    <w:tmpl w:val="9E26B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00E3E"/>
    <w:multiLevelType w:val="multilevel"/>
    <w:tmpl w:val="2696A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A5930"/>
    <w:rsid w:val="005A5930"/>
    <w:rsid w:val="005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930"/>
  </w:style>
  <w:style w:type="paragraph" w:styleId="Titolo1">
    <w:name w:val="heading 1"/>
    <w:basedOn w:val="Normale"/>
    <w:link w:val="Titolo1Carattere"/>
    <w:uiPriority w:val="9"/>
    <w:qFormat/>
    <w:rsid w:val="005A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5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59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59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5A59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atronato.it/patronato-inpas/domanda-assegno-sociale-di-disoccupazione-asdi/" TargetMode="External"/><Relationship Id="rId13" Type="http://schemas.openxmlformats.org/officeDocument/2006/relationships/hyperlink" Target="http://www.ilpatronato.it/patronato-inpas/bonus-mamma-dom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patronato.it/patronato-inpas/assegno-al-nucleo-familiare-anf/" TargetMode="External"/><Relationship Id="rId12" Type="http://schemas.openxmlformats.org/officeDocument/2006/relationships/hyperlink" Target="http://www.ilpatronato.it/patronato-inpas/bonus-beb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lpatronato.it/patronato-inpas/assegni-familiari-ai-lavoratori-autonomi/" TargetMode="External"/><Relationship Id="rId11" Type="http://schemas.openxmlformats.org/officeDocument/2006/relationships/hyperlink" Target="http://www.ilpatronato.it/patronato-inpas/indennita-per-congedo-parentale/" TargetMode="External"/><Relationship Id="rId5" Type="http://schemas.openxmlformats.org/officeDocument/2006/relationships/hyperlink" Target="http://www.ilpatronato.it/patronato-inpas/indennita-di-maternita-paternita/" TargetMode="External"/><Relationship Id="rId15" Type="http://schemas.openxmlformats.org/officeDocument/2006/relationships/hyperlink" Target="http://www.ilpatronato.it/patronato-inpas/astensione-anticipata-per-maternita/" TargetMode="External"/><Relationship Id="rId10" Type="http://schemas.openxmlformats.org/officeDocument/2006/relationships/hyperlink" Target="http://www.ilpatronato.it/patronato-inpas/assegno-di-matern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patronato.it/patronato-inpas/bonus-asilo-nido/" TargetMode="External"/><Relationship Id="rId14" Type="http://schemas.openxmlformats.org/officeDocument/2006/relationships/hyperlink" Target="http://www.ilpatronato.it/patronato-inpas/indennita-di-maternita-patern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2021-01-01T15:53:00Z</dcterms:created>
  <dcterms:modified xsi:type="dcterms:W3CDTF">2021-01-01T15:54:00Z</dcterms:modified>
</cp:coreProperties>
</file>